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ON-CALL POLICY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policy is intended to establish the process for [Organization Name]’s casual employees who take on-call shifts for the organization. 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SCOPE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policy applies to employees who are defined as “casual” as per their employment contract and their conditions of work.                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POLICY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Casual employees may take up to two shifts per month.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Shifts are made available for casual employees via (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how employees know about available shifts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may contact (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person the employee contacts if they will be taking the shift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 Shifts are allocated on a first come, first served basis; however, casual employees are required to have the necessary skills and abilities to fulfil the necessary job duties of the shift needing to be filled. 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After 24 Hours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Should a shift be posted for longer than 24 hours without being claimed by another casual employee, a casual employee who has already taken two shifts that month is able to pick up the shift.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Note that taking on additional shifts is in no way a change to an employee’s casual status or employment category. Picking up shifts does not entitle an employee to subsequent available shifts.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the unlikely event that an employee will incur overtime by picking up a shift (overtime is defined as over 44 hours weekly as per Ontario’s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Employment Standards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), the employee is required to inform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(Insert Person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prior to them accepting the shift.  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Procedures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any additional details re. the process for completing on-call shifts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Additional shifts must be approved by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POSITION/TITLE]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tabs>
        <w:tab w:val="center" w:leader="none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tabs>
        <w:tab w:val="center" w:leader="none" w:pos="4680"/>
      </w:tabs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IA+0CIGvTeYLKvSCMCkiRFPM2Q==">CgMxLjAyCGguZ2pkZ3hzOAByITFMbWVlbktIODVJRW5YdmxNaWJaUktFc3UxYzNoWThYbA==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